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Предложения </w:t>
      </w:r>
      <w:r>
        <w:rPr>
          <w:sz w:val="30"/>
          <w:szCs w:val="30"/>
        </w:rPr>
        <w:t>Секторального совета квалификаций в сфере информационно-коммуникационных технологий и связи при Министерстве связи и информатизации Республики Беларусь</w:t>
      </w:r>
    </w:p>
    <w:p>
      <w:pPr>
        <w:tabs>
          <w:tab w:val="left" w:pos="14459"/>
          <w:tab w:val="left" w:pos="14570"/>
        </w:tabs>
        <w:suppressAutoHyphens/>
        <w:spacing w:line="280" w:lineRule="exact"/>
        <w:ind w:left="8505" w:right="-31" w:hanging="8505"/>
        <w:contextualSpacing/>
        <w:rPr>
          <w:spacing w:val="2"/>
          <w:sz w:val="30"/>
          <w:szCs w:val="30"/>
        </w:rPr>
      </w:pPr>
      <w:r>
        <w:rPr>
          <w:sz w:val="30"/>
          <w:szCs w:val="30"/>
        </w:rPr>
        <w:t xml:space="preserve"> в План </w:t>
      </w:r>
      <w:r>
        <w:rPr>
          <w:spacing w:val="2"/>
          <w:sz w:val="30"/>
          <w:szCs w:val="30"/>
        </w:rPr>
        <w:t>разработки профессиональных стандартов на 2023-2025 годы</w:t>
      </w:r>
    </w:p>
    <w:p>
      <w:pPr>
        <w:spacing w:line="280" w:lineRule="exact"/>
        <w:rPr>
          <w:spacing w:val="2"/>
          <w:sz w:val="30"/>
          <w:szCs w:val="30"/>
        </w:rPr>
      </w:pPr>
    </w:p>
    <w:tbl>
      <w:tblPr>
        <w:tblStyle w:val="aa"/>
        <w:tblpPr w:leftFromText="180" w:rightFromText="180" w:vertAnchor="text" w:tblpX="108" w:tblpY="1"/>
        <w:tblOverlap w:val="never"/>
        <w:tblW w:w="14712" w:type="dxa"/>
        <w:tblLayout w:type="fixed"/>
        <w:tblLook w:val="04A0" w:firstRow="1" w:lastRow="0" w:firstColumn="1" w:lastColumn="0" w:noHBand="0" w:noVBand="1"/>
      </w:tblPr>
      <w:tblGrid>
        <w:gridCol w:w="1101"/>
        <w:gridCol w:w="10066"/>
        <w:gridCol w:w="3545"/>
      </w:tblGrid>
      <w:tr>
        <w:trPr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вида трудовой деятельности (профессии рабочего, должности служащего) для разработки профессионального стандарта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 предоставления проектов в Министерство труда и социальной защиты  </w:t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</w:tr>
      <w:t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Доставка (вручение) почтовых отправлений и печатных средств массовой информации, оказание услуг на дому (офисе) (почтальон)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сентябрь</w:t>
            </w:r>
          </w:p>
        </w:tc>
      </w:tr>
      <w:t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Специалист по технической поддержке абонентов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</w:tr>
      <w:t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Координация работы и контроль за своевременным обменом почты (дежурный ответственный по обмену почты)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май</w:t>
            </w:r>
          </w:p>
        </w:tc>
      </w:tr>
      <w:t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Специалист по продвижению товаров и услуг в области информационно-коммуникационных технологий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>
        <w:trPr>
          <w:trHeight w:val="321"/>
        </w:trPr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</w:tr>
      <w:t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«Техническое обслуживание, ремонт и мониторинг технического состояния почтового оборудования» (электромеханик почтового оборудования)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Оператор по предоставлению услуг электросвязи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май</w:t>
            </w:r>
          </w:p>
        </w:tc>
      </w:tr>
      <w:t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 – 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>
      <w:pPr>
        <w:suppressAutoHyphens/>
        <w:spacing w:line="280" w:lineRule="exact"/>
        <w:ind w:left="12744" w:right="-598" w:hanging="12744"/>
        <w:contextualSpacing/>
        <w:jc w:val="both"/>
        <w:rPr>
          <w:sz w:val="26"/>
          <w:szCs w:val="26"/>
          <w:lang w:val="en-US"/>
        </w:rPr>
      </w:pPr>
    </w:p>
    <w:p>
      <w:pPr>
        <w:suppressAutoHyphens/>
        <w:spacing w:line="280" w:lineRule="exact"/>
        <w:ind w:left="12744" w:right="-598" w:hanging="12744"/>
        <w:contextualSpacing/>
        <w:jc w:val="both"/>
        <w:rPr>
          <w:sz w:val="30"/>
          <w:szCs w:val="30"/>
          <w:lang w:val="en-US"/>
        </w:rPr>
      </w:pPr>
    </w:p>
    <w:p>
      <w:pPr>
        <w:suppressAutoHyphens/>
        <w:spacing w:line="280" w:lineRule="exact"/>
        <w:ind w:left="12744" w:right="-598" w:hanging="12744"/>
        <w:contextualSpacing/>
        <w:jc w:val="both"/>
        <w:rPr>
          <w:sz w:val="30"/>
          <w:szCs w:val="30"/>
          <w:lang w:val="en-US"/>
        </w:rPr>
      </w:pPr>
      <w:bookmarkStart w:id="0" w:name="_GoBack"/>
      <w:bookmarkEnd w:id="0"/>
    </w:p>
    <w:sectPr>
      <w:headerReference w:type="even" r:id="rId8"/>
      <w:headerReference w:type="default" r:id="rId9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tabs>
        <w:tab w:val="center" w:pos="1746"/>
        <w:tab w:val="left" w:pos="2128"/>
        <w:tab w:val="left" w:pos="3222"/>
      </w:tabs>
    </w:pPr>
    <w:rPr>
      <w:sz w:val="26"/>
      <w:lang w:eastAsia="en-US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character" w:customStyle="1" w:styleId="a6">
    <w:name w:val="Верхний колонтитул Знак"/>
    <w:basedOn w:val="a0"/>
    <w:link w:val="a5"/>
    <w:rPr>
      <w:sz w:val="24"/>
      <w:szCs w:val="24"/>
      <w:lang w:val="ru-RU" w:eastAsia="ru-RU" w:bidi="ar-SA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a8">
    <w:name w:val="Знак"/>
    <w:basedOn w:val="a"/>
    <w:autoRedefine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locked/>
    <w:rPr>
      <w:sz w:val="26"/>
      <w:szCs w:val="24"/>
      <w:lang w:val="ru-RU" w:eastAsia="en-US" w:bidi="ar-SA"/>
    </w:rPr>
  </w:style>
  <w:style w:type="table" w:styleId="aa">
    <w:name w:val="Table Grid"/>
    <w:basedOn w:val="a1"/>
    <w:uiPriority w:val="59"/>
    <w:qFormat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tabs>
        <w:tab w:val="center" w:pos="1746"/>
        <w:tab w:val="left" w:pos="2128"/>
        <w:tab w:val="left" w:pos="3222"/>
      </w:tabs>
    </w:pPr>
    <w:rPr>
      <w:sz w:val="26"/>
      <w:lang w:eastAsia="en-US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character" w:customStyle="1" w:styleId="a6">
    <w:name w:val="Верхний колонтитул Знак"/>
    <w:basedOn w:val="a0"/>
    <w:link w:val="a5"/>
    <w:rPr>
      <w:sz w:val="24"/>
      <w:szCs w:val="24"/>
      <w:lang w:val="ru-RU" w:eastAsia="ru-RU" w:bidi="ar-SA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a8">
    <w:name w:val="Знак"/>
    <w:basedOn w:val="a"/>
    <w:autoRedefine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locked/>
    <w:rPr>
      <w:sz w:val="26"/>
      <w:szCs w:val="24"/>
      <w:lang w:val="ru-RU" w:eastAsia="en-US" w:bidi="ar-SA"/>
    </w:rPr>
  </w:style>
  <w:style w:type="table" w:styleId="aa">
    <w:name w:val="Table Grid"/>
    <w:basedOn w:val="a1"/>
    <w:uiPriority w:val="59"/>
    <w:qFormat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33DA7-69E0-4CD1-B622-81B3D4F07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МІНІСТЭРСТВА СУВЯЗІ</vt:lpstr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МІНІСТЭРСТВА СУВЯЗІ</dc:title>
  <dc:creator>Diyga</dc:creator>
  <cp:lastModifiedBy>Дяга Ирина Анатольевна</cp:lastModifiedBy>
  <cp:revision>2</cp:revision>
  <cp:lastPrinted>2020-01-31T15:13:00Z</cp:lastPrinted>
  <dcterms:created xsi:type="dcterms:W3CDTF">2023-10-26T08:00:00Z</dcterms:created>
  <dcterms:modified xsi:type="dcterms:W3CDTF">2023-10-26T08:00:00Z</dcterms:modified>
</cp:coreProperties>
</file>